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B9500D" w14:textId="11C8C3CA" w:rsidR="004A5F68" w:rsidRPr="007C77E3" w:rsidRDefault="00BF2F5F">
      <w:pPr>
        <w:rPr>
          <w:sz w:val="28"/>
          <w:szCs w:val="28"/>
        </w:rPr>
      </w:pPr>
      <w:r w:rsidRPr="007C77E3">
        <w:rPr>
          <w:sz w:val="28"/>
          <w:szCs w:val="28"/>
        </w:rPr>
        <w:t>August 2022 S</w:t>
      </w:r>
      <w:r w:rsidR="00535269" w:rsidRPr="007C77E3">
        <w:rPr>
          <w:sz w:val="28"/>
          <w:szCs w:val="28"/>
        </w:rPr>
        <w:t>afety Corner</w:t>
      </w:r>
    </w:p>
    <w:p w14:paraId="757463D4" w14:textId="678A1CBC" w:rsidR="00535269" w:rsidRPr="007C77E3" w:rsidRDefault="00061A38">
      <w:pPr>
        <w:rPr>
          <w:sz w:val="24"/>
          <w:szCs w:val="24"/>
        </w:rPr>
      </w:pPr>
      <w:r w:rsidRPr="007C77E3">
        <w:rPr>
          <w:sz w:val="24"/>
          <w:szCs w:val="24"/>
        </w:rPr>
        <w:t>Q: What kind of i</w:t>
      </w:r>
      <w:r w:rsidR="007F6B75" w:rsidRPr="007C77E3">
        <w:rPr>
          <w:sz w:val="24"/>
          <w:szCs w:val="24"/>
        </w:rPr>
        <w:t xml:space="preserve">nspection </w:t>
      </w:r>
      <w:r w:rsidRPr="007C77E3">
        <w:rPr>
          <w:sz w:val="24"/>
          <w:szCs w:val="24"/>
        </w:rPr>
        <w:t>must we do for h</w:t>
      </w:r>
      <w:r w:rsidR="007F6B75" w:rsidRPr="007C77E3">
        <w:rPr>
          <w:sz w:val="24"/>
          <w:szCs w:val="24"/>
        </w:rPr>
        <w:t>oists:</w:t>
      </w:r>
    </w:p>
    <w:p w14:paraId="31DDCB26" w14:textId="3893150E" w:rsidR="00D76396" w:rsidRPr="007C77E3" w:rsidRDefault="00061A38">
      <w:pPr>
        <w:rPr>
          <w:sz w:val="24"/>
          <w:szCs w:val="24"/>
        </w:rPr>
      </w:pPr>
      <w:r w:rsidRPr="007C77E3">
        <w:rPr>
          <w:sz w:val="24"/>
          <w:szCs w:val="24"/>
        </w:rPr>
        <w:t xml:space="preserve">A: </w:t>
      </w:r>
      <w:r w:rsidR="007F6B75" w:rsidRPr="007C77E3">
        <w:rPr>
          <w:sz w:val="24"/>
          <w:szCs w:val="24"/>
        </w:rPr>
        <w:t xml:space="preserve">A hoist is defined as a device used for lifting and lowering loads using a lift-wheel or a drum where the chain or ropes wraps around.  Hoists are very common in manufacturing, so it is important to ensure they are in good repair and properly maintained.  In </w:t>
      </w:r>
      <w:r w:rsidR="00BF2F5F" w:rsidRPr="007C77E3">
        <w:rPr>
          <w:sz w:val="24"/>
          <w:szCs w:val="24"/>
        </w:rPr>
        <w:t>general,</w:t>
      </w:r>
      <w:r w:rsidR="007F6B75" w:rsidRPr="007C77E3">
        <w:rPr>
          <w:sz w:val="24"/>
          <w:szCs w:val="24"/>
        </w:rPr>
        <w:t xml:space="preserve"> there are two types of inspections required for </w:t>
      </w:r>
      <w:r w:rsidRPr="007C77E3">
        <w:rPr>
          <w:sz w:val="24"/>
          <w:szCs w:val="24"/>
        </w:rPr>
        <w:t>hoists:</w:t>
      </w:r>
      <w:r w:rsidR="007F6B75" w:rsidRPr="007C77E3">
        <w:rPr>
          <w:sz w:val="24"/>
          <w:szCs w:val="24"/>
        </w:rPr>
        <w:t xml:space="preserve"> frequent and periodic.  </w:t>
      </w:r>
      <w:r w:rsidR="007F6B75" w:rsidRPr="007C77E3">
        <w:rPr>
          <w:sz w:val="24"/>
          <w:szCs w:val="24"/>
          <w:u w:val="single"/>
        </w:rPr>
        <w:t>Frequent inspection</w:t>
      </w:r>
      <w:r w:rsidR="007F6B75" w:rsidRPr="007C77E3">
        <w:rPr>
          <w:sz w:val="24"/>
          <w:szCs w:val="24"/>
        </w:rPr>
        <w:t xml:space="preserve"> are pre-operational inspections that involve operating the hoist, checking for leakage, does the hoist operate normally (does if feel right), inspect the load chain for damage, nicks, bent links, etc., check the hook, throat opening, alignment</w:t>
      </w:r>
      <w:r w:rsidR="00D76396" w:rsidRPr="007C77E3">
        <w:rPr>
          <w:sz w:val="24"/>
          <w:szCs w:val="24"/>
        </w:rPr>
        <w:t xml:space="preserve">, safety latch and warning labels.  This should occur daily, prior to shift, prior to use up to monthly based on your usage.  These inspections should be completed by the operators. </w:t>
      </w:r>
    </w:p>
    <w:p w14:paraId="1B6BCDFD" w14:textId="16E9F8ED" w:rsidR="007F6B75" w:rsidRPr="007C77E3" w:rsidRDefault="00D76396">
      <w:pPr>
        <w:rPr>
          <w:sz w:val="24"/>
          <w:szCs w:val="24"/>
        </w:rPr>
      </w:pPr>
      <w:r w:rsidRPr="007C77E3">
        <w:rPr>
          <w:sz w:val="24"/>
          <w:szCs w:val="24"/>
          <w:u w:val="single"/>
        </w:rPr>
        <w:t>Periodic inspections</w:t>
      </w:r>
      <w:r w:rsidRPr="007C77E3">
        <w:rPr>
          <w:sz w:val="24"/>
          <w:szCs w:val="24"/>
        </w:rPr>
        <w:t xml:space="preserve"> are mor</w:t>
      </w:r>
      <w:r w:rsidR="00061A38" w:rsidRPr="007C77E3">
        <w:rPr>
          <w:sz w:val="24"/>
          <w:szCs w:val="24"/>
        </w:rPr>
        <w:t>e</w:t>
      </w:r>
      <w:r w:rsidRPr="007C77E3">
        <w:rPr>
          <w:sz w:val="24"/>
          <w:szCs w:val="24"/>
        </w:rPr>
        <w:t xml:space="preserve"> invasive and need to be performed by a qualified person or sent out to a repair/ warranty site.  There are 3 service classes.  The service classes</w:t>
      </w:r>
      <w:r w:rsidR="00386A79" w:rsidRPr="00386A79">
        <w:rPr>
          <w:sz w:val="24"/>
          <w:szCs w:val="24"/>
        </w:rPr>
        <w:t xml:space="preserve"> </w:t>
      </w:r>
      <w:r w:rsidR="00386A79" w:rsidRPr="007C77E3">
        <w:rPr>
          <w:sz w:val="24"/>
          <w:szCs w:val="24"/>
        </w:rPr>
        <w:t>depend on your usage</w:t>
      </w:r>
      <w:r w:rsidR="00386A79">
        <w:rPr>
          <w:sz w:val="24"/>
          <w:szCs w:val="24"/>
        </w:rPr>
        <w:t>:</w:t>
      </w:r>
      <w:r w:rsidRPr="007C77E3">
        <w:rPr>
          <w:sz w:val="24"/>
          <w:szCs w:val="24"/>
        </w:rPr>
        <w:t xml:space="preserve"> </w:t>
      </w:r>
      <w:r w:rsidR="00386A79">
        <w:rPr>
          <w:sz w:val="24"/>
          <w:szCs w:val="24"/>
        </w:rPr>
        <w:t>n</w:t>
      </w:r>
      <w:r w:rsidR="00386A79" w:rsidRPr="007C77E3">
        <w:rPr>
          <w:sz w:val="24"/>
          <w:szCs w:val="24"/>
        </w:rPr>
        <w:t xml:space="preserve">ormal, </w:t>
      </w:r>
      <w:r w:rsidR="00386A79">
        <w:rPr>
          <w:sz w:val="24"/>
          <w:szCs w:val="24"/>
        </w:rPr>
        <w:t>h</w:t>
      </w:r>
      <w:r w:rsidR="00386A79" w:rsidRPr="007C77E3">
        <w:rPr>
          <w:sz w:val="24"/>
          <w:szCs w:val="24"/>
        </w:rPr>
        <w:t xml:space="preserve">eavy, and </w:t>
      </w:r>
      <w:r w:rsidR="00386A79">
        <w:rPr>
          <w:sz w:val="24"/>
          <w:szCs w:val="24"/>
        </w:rPr>
        <w:t>s</w:t>
      </w:r>
      <w:r w:rsidR="00386A79" w:rsidRPr="007C77E3">
        <w:rPr>
          <w:sz w:val="24"/>
          <w:szCs w:val="24"/>
        </w:rPr>
        <w:t>evere</w:t>
      </w:r>
      <w:r w:rsidR="00386A79">
        <w:rPr>
          <w:sz w:val="24"/>
          <w:szCs w:val="24"/>
        </w:rPr>
        <w:t>.</w:t>
      </w:r>
      <w:r w:rsidRPr="007C77E3">
        <w:rPr>
          <w:sz w:val="24"/>
          <w:szCs w:val="24"/>
        </w:rPr>
        <w:t xml:space="preserve">   Each of the 3 classes vary in inspection frequency.  </w:t>
      </w:r>
    </w:p>
    <w:tbl>
      <w:tblPr>
        <w:tblW w:w="9620" w:type="dxa"/>
        <w:tblLook w:val="04A0" w:firstRow="1" w:lastRow="0" w:firstColumn="1" w:lastColumn="0" w:noHBand="0" w:noVBand="1"/>
      </w:tblPr>
      <w:tblGrid>
        <w:gridCol w:w="1522"/>
        <w:gridCol w:w="5696"/>
        <w:gridCol w:w="2402"/>
      </w:tblGrid>
      <w:tr w:rsidR="00BF2F5F" w:rsidRPr="00BF2F5F" w14:paraId="5E43D921" w14:textId="77777777" w:rsidTr="00061A38">
        <w:trPr>
          <w:trHeight w:val="142"/>
        </w:trPr>
        <w:tc>
          <w:tcPr>
            <w:tcW w:w="1522" w:type="dxa"/>
            <w:tcBorders>
              <w:top w:val="single" w:sz="12" w:space="0" w:color="auto"/>
              <w:left w:val="single" w:sz="12" w:space="0" w:color="auto"/>
              <w:bottom w:val="single" w:sz="12" w:space="0" w:color="auto"/>
              <w:right w:val="nil"/>
            </w:tcBorders>
            <w:shd w:val="clear" w:color="000000" w:fill="FFE699"/>
            <w:noWrap/>
            <w:vAlign w:val="bottom"/>
            <w:hideMark/>
          </w:tcPr>
          <w:p w14:paraId="347FF962" w14:textId="77777777" w:rsidR="00BF2F5F" w:rsidRPr="00BF2F5F" w:rsidRDefault="00BF2F5F" w:rsidP="00BF2F5F">
            <w:pPr>
              <w:spacing w:after="0" w:line="240" w:lineRule="auto"/>
              <w:rPr>
                <w:rFonts w:ascii="Calibri" w:eastAsia="Times New Roman" w:hAnsi="Calibri" w:cs="Calibri"/>
                <w:b/>
                <w:bCs/>
                <w:color w:val="000000"/>
              </w:rPr>
            </w:pPr>
            <w:r w:rsidRPr="00BF2F5F">
              <w:rPr>
                <w:rFonts w:ascii="Calibri" w:eastAsia="Times New Roman" w:hAnsi="Calibri" w:cs="Calibri"/>
                <w:b/>
                <w:bCs/>
                <w:color w:val="000000"/>
              </w:rPr>
              <w:t>Service Class</w:t>
            </w:r>
          </w:p>
        </w:tc>
        <w:tc>
          <w:tcPr>
            <w:tcW w:w="5696" w:type="dxa"/>
            <w:tcBorders>
              <w:top w:val="single" w:sz="12" w:space="0" w:color="auto"/>
              <w:left w:val="nil"/>
              <w:bottom w:val="single" w:sz="12" w:space="0" w:color="auto"/>
              <w:right w:val="nil"/>
            </w:tcBorders>
            <w:shd w:val="clear" w:color="000000" w:fill="FFE699"/>
            <w:noWrap/>
            <w:vAlign w:val="bottom"/>
            <w:hideMark/>
          </w:tcPr>
          <w:p w14:paraId="2C8EE14C" w14:textId="77777777" w:rsidR="00BF2F5F" w:rsidRPr="00BF2F5F" w:rsidRDefault="00BF2F5F" w:rsidP="00BF2F5F">
            <w:pPr>
              <w:spacing w:after="0" w:line="240" w:lineRule="auto"/>
              <w:rPr>
                <w:rFonts w:ascii="Calibri" w:eastAsia="Times New Roman" w:hAnsi="Calibri" w:cs="Calibri"/>
                <w:b/>
                <w:bCs/>
                <w:color w:val="000000"/>
              </w:rPr>
            </w:pPr>
            <w:r w:rsidRPr="00BF2F5F">
              <w:rPr>
                <w:rFonts w:ascii="Calibri" w:eastAsia="Times New Roman" w:hAnsi="Calibri" w:cs="Calibri"/>
                <w:b/>
                <w:bCs/>
                <w:color w:val="000000"/>
              </w:rPr>
              <w:t>Definition</w:t>
            </w:r>
          </w:p>
        </w:tc>
        <w:tc>
          <w:tcPr>
            <w:tcW w:w="2402" w:type="dxa"/>
            <w:tcBorders>
              <w:top w:val="single" w:sz="12" w:space="0" w:color="auto"/>
              <w:left w:val="nil"/>
              <w:bottom w:val="single" w:sz="12" w:space="0" w:color="auto"/>
              <w:right w:val="single" w:sz="12" w:space="0" w:color="auto"/>
            </w:tcBorders>
            <w:shd w:val="clear" w:color="000000" w:fill="FFE699"/>
            <w:noWrap/>
            <w:vAlign w:val="bottom"/>
            <w:hideMark/>
          </w:tcPr>
          <w:p w14:paraId="0065D909" w14:textId="77777777" w:rsidR="00BF2F5F" w:rsidRPr="00BF2F5F" w:rsidRDefault="00BF2F5F" w:rsidP="00BF2F5F">
            <w:pPr>
              <w:spacing w:after="0" w:line="240" w:lineRule="auto"/>
              <w:rPr>
                <w:rFonts w:ascii="Calibri" w:eastAsia="Times New Roman" w:hAnsi="Calibri" w:cs="Calibri"/>
                <w:b/>
                <w:bCs/>
                <w:color w:val="000000"/>
              </w:rPr>
            </w:pPr>
            <w:r w:rsidRPr="00BF2F5F">
              <w:rPr>
                <w:rFonts w:ascii="Calibri" w:eastAsia="Times New Roman" w:hAnsi="Calibri" w:cs="Calibri"/>
                <w:b/>
                <w:bCs/>
                <w:color w:val="000000"/>
              </w:rPr>
              <w:t xml:space="preserve">Inspection Frequency </w:t>
            </w:r>
          </w:p>
        </w:tc>
      </w:tr>
      <w:tr w:rsidR="00BF2F5F" w:rsidRPr="00BF2F5F" w14:paraId="1F87DFF3" w14:textId="77777777" w:rsidTr="00061A38">
        <w:trPr>
          <w:trHeight w:val="818"/>
        </w:trPr>
        <w:tc>
          <w:tcPr>
            <w:tcW w:w="1522" w:type="dxa"/>
            <w:tcBorders>
              <w:top w:val="nil"/>
              <w:left w:val="single" w:sz="12" w:space="0" w:color="auto"/>
              <w:bottom w:val="single" w:sz="12" w:space="0" w:color="auto"/>
              <w:right w:val="single" w:sz="12" w:space="0" w:color="auto"/>
            </w:tcBorders>
            <w:shd w:val="clear" w:color="000000" w:fill="FFF2CC"/>
            <w:noWrap/>
            <w:textDirection w:val="tbLrV"/>
            <w:vAlign w:val="bottom"/>
            <w:hideMark/>
          </w:tcPr>
          <w:p w14:paraId="6BED9CEE" w14:textId="77777777" w:rsidR="00BF2F5F" w:rsidRPr="00BF2F5F" w:rsidRDefault="00BF2F5F" w:rsidP="00BF2F5F">
            <w:pPr>
              <w:spacing w:after="0" w:line="240" w:lineRule="auto"/>
              <w:jc w:val="center"/>
              <w:rPr>
                <w:rFonts w:ascii="Calibri" w:eastAsia="Times New Roman" w:hAnsi="Calibri" w:cs="Calibri"/>
                <w:color w:val="000000"/>
              </w:rPr>
            </w:pPr>
            <w:r w:rsidRPr="00BF2F5F">
              <w:rPr>
                <w:rFonts w:ascii="Calibri" w:eastAsia="Times New Roman" w:hAnsi="Calibri" w:cs="Calibri"/>
                <w:color w:val="000000"/>
              </w:rPr>
              <w:t>Normal</w:t>
            </w:r>
          </w:p>
        </w:tc>
        <w:tc>
          <w:tcPr>
            <w:tcW w:w="5696" w:type="dxa"/>
            <w:tcBorders>
              <w:top w:val="nil"/>
              <w:left w:val="nil"/>
              <w:bottom w:val="single" w:sz="12" w:space="0" w:color="auto"/>
              <w:right w:val="single" w:sz="12" w:space="0" w:color="auto"/>
            </w:tcBorders>
            <w:shd w:val="clear" w:color="000000" w:fill="FFF2CC"/>
            <w:vAlign w:val="bottom"/>
            <w:hideMark/>
          </w:tcPr>
          <w:p w14:paraId="15AA4BCD" w14:textId="77777777" w:rsidR="00BF2F5F" w:rsidRPr="00BF2F5F" w:rsidRDefault="00BF2F5F" w:rsidP="00BF2F5F">
            <w:pPr>
              <w:spacing w:after="0" w:line="240" w:lineRule="auto"/>
              <w:rPr>
                <w:rFonts w:ascii="Calibri" w:eastAsia="Times New Roman" w:hAnsi="Calibri" w:cs="Calibri"/>
                <w:color w:val="000000"/>
              </w:rPr>
            </w:pPr>
            <w:r w:rsidRPr="00BF2F5F">
              <w:rPr>
                <w:rFonts w:ascii="Calibri" w:eastAsia="Times New Roman" w:hAnsi="Calibri" w:cs="Calibri"/>
                <w:color w:val="000000"/>
              </w:rPr>
              <w:t>Lift &lt; 65% of Rated Load and used 15%or less of the time</w:t>
            </w:r>
          </w:p>
        </w:tc>
        <w:tc>
          <w:tcPr>
            <w:tcW w:w="2402" w:type="dxa"/>
            <w:tcBorders>
              <w:top w:val="nil"/>
              <w:left w:val="nil"/>
              <w:bottom w:val="single" w:sz="12" w:space="0" w:color="auto"/>
              <w:right w:val="single" w:sz="12" w:space="0" w:color="auto"/>
            </w:tcBorders>
            <w:shd w:val="clear" w:color="000000" w:fill="FFF2CC"/>
            <w:noWrap/>
            <w:vAlign w:val="bottom"/>
            <w:hideMark/>
          </w:tcPr>
          <w:p w14:paraId="412ABC55" w14:textId="77777777" w:rsidR="00BF2F5F" w:rsidRPr="00BF2F5F" w:rsidRDefault="00BF2F5F" w:rsidP="00BF2F5F">
            <w:pPr>
              <w:spacing w:after="0" w:line="240" w:lineRule="auto"/>
              <w:rPr>
                <w:rFonts w:ascii="Calibri" w:eastAsia="Times New Roman" w:hAnsi="Calibri" w:cs="Calibri"/>
                <w:color w:val="000000"/>
              </w:rPr>
            </w:pPr>
            <w:r w:rsidRPr="00BF2F5F">
              <w:rPr>
                <w:rFonts w:ascii="Calibri" w:eastAsia="Times New Roman" w:hAnsi="Calibri" w:cs="Calibri"/>
                <w:color w:val="000000"/>
              </w:rPr>
              <w:t xml:space="preserve">Annual </w:t>
            </w:r>
          </w:p>
        </w:tc>
      </w:tr>
      <w:tr w:rsidR="00BF2F5F" w:rsidRPr="00BF2F5F" w14:paraId="083D4E44" w14:textId="77777777" w:rsidTr="00061A38">
        <w:trPr>
          <w:trHeight w:val="685"/>
        </w:trPr>
        <w:tc>
          <w:tcPr>
            <w:tcW w:w="1522" w:type="dxa"/>
            <w:tcBorders>
              <w:top w:val="nil"/>
              <w:left w:val="single" w:sz="12" w:space="0" w:color="auto"/>
              <w:bottom w:val="single" w:sz="4" w:space="0" w:color="auto"/>
              <w:right w:val="single" w:sz="12" w:space="0" w:color="auto"/>
            </w:tcBorders>
            <w:shd w:val="clear" w:color="000000" w:fill="FFF2CC"/>
            <w:noWrap/>
            <w:textDirection w:val="tbLrV"/>
            <w:vAlign w:val="bottom"/>
            <w:hideMark/>
          </w:tcPr>
          <w:p w14:paraId="3AA7234D" w14:textId="77777777" w:rsidR="00BF2F5F" w:rsidRPr="00BF2F5F" w:rsidRDefault="00BF2F5F" w:rsidP="00BF2F5F">
            <w:pPr>
              <w:spacing w:after="0" w:line="240" w:lineRule="auto"/>
              <w:jc w:val="center"/>
              <w:rPr>
                <w:rFonts w:ascii="Calibri" w:eastAsia="Times New Roman" w:hAnsi="Calibri" w:cs="Calibri"/>
                <w:color w:val="000000"/>
              </w:rPr>
            </w:pPr>
            <w:r w:rsidRPr="00BF2F5F">
              <w:rPr>
                <w:rFonts w:ascii="Calibri" w:eastAsia="Times New Roman" w:hAnsi="Calibri" w:cs="Calibri"/>
                <w:color w:val="000000"/>
              </w:rPr>
              <w:t>Heavy</w:t>
            </w:r>
          </w:p>
        </w:tc>
        <w:tc>
          <w:tcPr>
            <w:tcW w:w="5696" w:type="dxa"/>
            <w:tcBorders>
              <w:top w:val="nil"/>
              <w:left w:val="nil"/>
              <w:bottom w:val="single" w:sz="12" w:space="0" w:color="auto"/>
              <w:right w:val="single" w:sz="12" w:space="0" w:color="auto"/>
            </w:tcBorders>
            <w:shd w:val="clear" w:color="000000" w:fill="FFF2CC"/>
            <w:vAlign w:val="bottom"/>
            <w:hideMark/>
          </w:tcPr>
          <w:p w14:paraId="39021964" w14:textId="5338BAEE" w:rsidR="00BF2F5F" w:rsidRPr="00BF2F5F" w:rsidRDefault="00BF2F5F" w:rsidP="00BF2F5F">
            <w:pPr>
              <w:spacing w:after="0" w:line="240" w:lineRule="auto"/>
              <w:rPr>
                <w:rFonts w:ascii="Calibri" w:eastAsia="Times New Roman" w:hAnsi="Calibri" w:cs="Calibri"/>
                <w:color w:val="000000"/>
              </w:rPr>
            </w:pPr>
            <w:r w:rsidRPr="00BF2F5F">
              <w:rPr>
                <w:rFonts w:ascii="Calibri" w:eastAsia="Times New Roman" w:hAnsi="Calibri" w:cs="Calibri"/>
                <w:color w:val="000000"/>
              </w:rPr>
              <w:t>Lift &gt; 65% if the rated load and</w:t>
            </w:r>
            <w:r>
              <w:rPr>
                <w:rFonts w:ascii="Calibri" w:eastAsia="Times New Roman" w:hAnsi="Calibri" w:cs="Calibri"/>
                <w:color w:val="000000"/>
              </w:rPr>
              <w:t xml:space="preserve"> </w:t>
            </w:r>
            <w:r w:rsidRPr="00BF2F5F">
              <w:rPr>
                <w:rFonts w:ascii="Calibri" w:eastAsia="Times New Roman" w:hAnsi="Calibri" w:cs="Calibri"/>
                <w:color w:val="000000"/>
              </w:rPr>
              <w:t>used great that 15 % of the time</w:t>
            </w:r>
          </w:p>
        </w:tc>
        <w:tc>
          <w:tcPr>
            <w:tcW w:w="2402" w:type="dxa"/>
            <w:tcBorders>
              <w:top w:val="nil"/>
              <w:left w:val="nil"/>
              <w:bottom w:val="single" w:sz="12" w:space="0" w:color="auto"/>
              <w:right w:val="single" w:sz="12" w:space="0" w:color="auto"/>
            </w:tcBorders>
            <w:shd w:val="clear" w:color="000000" w:fill="FFF2CC"/>
            <w:noWrap/>
            <w:vAlign w:val="bottom"/>
            <w:hideMark/>
          </w:tcPr>
          <w:p w14:paraId="2094D1B2" w14:textId="77777777" w:rsidR="00BF2F5F" w:rsidRPr="00BF2F5F" w:rsidRDefault="00BF2F5F" w:rsidP="00BF2F5F">
            <w:pPr>
              <w:spacing w:after="0" w:line="240" w:lineRule="auto"/>
              <w:rPr>
                <w:rFonts w:ascii="Calibri" w:eastAsia="Times New Roman" w:hAnsi="Calibri" w:cs="Calibri"/>
                <w:color w:val="000000"/>
              </w:rPr>
            </w:pPr>
            <w:r w:rsidRPr="00BF2F5F">
              <w:rPr>
                <w:rFonts w:ascii="Calibri" w:eastAsia="Times New Roman" w:hAnsi="Calibri" w:cs="Calibri"/>
                <w:color w:val="000000"/>
              </w:rPr>
              <w:t>Semi Annual</w:t>
            </w:r>
          </w:p>
        </w:tc>
      </w:tr>
      <w:tr w:rsidR="00BF2F5F" w:rsidRPr="00BF2F5F" w14:paraId="7E56639F" w14:textId="77777777" w:rsidTr="00061A38">
        <w:trPr>
          <w:trHeight w:val="818"/>
        </w:trPr>
        <w:tc>
          <w:tcPr>
            <w:tcW w:w="1522" w:type="dxa"/>
            <w:tcBorders>
              <w:top w:val="single" w:sz="4" w:space="0" w:color="auto"/>
              <w:left w:val="single" w:sz="4" w:space="0" w:color="auto"/>
              <w:bottom w:val="single" w:sz="4" w:space="0" w:color="auto"/>
              <w:right w:val="single" w:sz="4" w:space="0" w:color="auto"/>
            </w:tcBorders>
            <w:shd w:val="clear" w:color="000000" w:fill="FFF2CC"/>
            <w:noWrap/>
            <w:textDirection w:val="tbLrV"/>
            <w:vAlign w:val="bottom"/>
            <w:hideMark/>
          </w:tcPr>
          <w:p w14:paraId="32F04DD0" w14:textId="77777777" w:rsidR="00BF2F5F" w:rsidRPr="00BF2F5F" w:rsidRDefault="00BF2F5F" w:rsidP="00BF2F5F">
            <w:pPr>
              <w:spacing w:after="0" w:line="240" w:lineRule="auto"/>
              <w:jc w:val="center"/>
              <w:rPr>
                <w:rFonts w:ascii="Calibri" w:eastAsia="Times New Roman" w:hAnsi="Calibri" w:cs="Calibri"/>
                <w:color w:val="000000"/>
              </w:rPr>
            </w:pPr>
            <w:r w:rsidRPr="00BF2F5F">
              <w:rPr>
                <w:rFonts w:ascii="Calibri" w:eastAsia="Times New Roman" w:hAnsi="Calibri" w:cs="Calibri"/>
                <w:color w:val="000000"/>
              </w:rPr>
              <w:t>Severe</w:t>
            </w:r>
          </w:p>
        </w:tc>
        <w:tc>
          <w:tcPr>
            <w:tcW w:w="5696" w:type="dxa"/>
            <w:tcBorders>
              <w:top w:val="nil"/>
              <w:left w:val="single" w:sz="4" w:space="0" w:color="auto"/>
              <w:bottom w:val="single" w:sz="12" w:space="0" w:color="auto"/>
              <w:right w:val="single" w:sz="12" w:space="0" w:color="auto"/>
            </w:tcBorders>
            <w:shd w:val="clear" w:color="000000" w:fill="FFF2CC"/>
            <w:vAlign w:val="bottom"/>
            <w:hideMark/>
          </w:tcPr>
          <w:p w14:paraId="47E5E680" w14:textId="52A203C4" w:rsidR="00BF2F5F" w:rsidRPr="00BF2F5F" w:rsidRDefault="00BF2F5F" w:rsidP="00BF2F5F">
            <w:pPr>
              <w:spacing w:after="0" w:line="240" w:lineRule="auto"/>
              <w:rPr>
                <w:rFonts w:ascii="Calibri" w:eastAsia="Times New Roman" w:hAnsi="Calibri" w:cs="Calibri"/>
                <w:color w:val="000000"/>
              </w:rPr>
            </w:pPr>
            <w:r w:rsidRPr="00BF2F5F">
              <w:rPr>
                <w:rFonts w:ascii="Calibri" w:eastAsia="Times New Roman" w:hAnsi="Calibri" w:cs="Calibri"/>
                <w:color w:val="000000"/>
              </w:rPr>
              <w:t>Non-standard conditions: high or low temperatures,</w:t>
            </w:r>
            <w:r>
              <w:rPr>
                <w:rFonts w:ascii="Calibri" w:eastAsia="Times New Roman" w:hAnsi="Calibri" w:cs="Calibri"/>
                <w:color w:val="000000"/>
              </w:rPr>
              <w:t xml:space="preserve"> </w:t>
            </w:r>
            <w:r w:rsidRPr="00BF2F5F">
              <w:rPr>
                <w:rFonts w:ascii="Calibri" w:eastAsia="Times New Roman" w:hAnsi="Calibri" w:cs="Calibri"/>
                <w:color w:val="000000"/>
              </w:rPr>
              <w:t xml:space="preserve">outdoor and/or </w:t>
            </w:r>
            <w:r w:rsidR="00061A38" w:rsidRPr="00BF2F5F">
              <w:rPr>
                <w:rFonts w:ascii="Calibri" w:eastAsia="Times New Roman" w:hAnsi="Calibri" w:cs="Calibri"/>
                <w:color w:val="000000"/>
              </w:rPr>
              <w:t>saltwater</w:t>
            </w:r>
            <w:r w:rsidRPr="00BF2F5F">
              <w:rPr>
                <w:rFonts w:ascii="Calibri" w:eastAsia="Times New Roman" w:hAnsi="Calibri" w:cs="Calibri"/>
                <w:color w:val="000000"/>
              </w:rPr>
              <w:t xml:space="preserve"> exposure, caustic environments etc.</w:t>
            </w:r>
          </w:p>
        </w:tc>
        <w:tc>
          <w:tcPr>
            <w:tcW w:w="2402" w:type="dxa"/>
            <w:tcBorders>
              <w:top w:val="nil"/>
              <w:left w:val="nil"/>
              <w:bottom w:val="single" w:sz="12" w:space="0" w:color="auto"/>
              <w:right w:val="single" w:sz="12" w:space="0" w:color="auto"/>
            </w:tcBorders>
            <w:shd w:val="clear" w:color="000000" w:fill="FFF2CC"/>
            <w:noWrap/>
            <w:vAlign w:val="bottom"/>
            <w:hideMark/>
          </w:tcPr>
          <w:p w14:paraId="59C89058" w14:textId="77777777" w:rsidR="00BF2F5F" w:rsidRPr="00BF2F5F" w:rsidRDefault="00BF2F5F" w:rsidP="00BF2F5F">
            <w:pPr>
              <w:spacing w:after="0" w:line="240" w:lineRule="auto"/>
              <w:rPr>
                <w:rFonts w:ascii="Calibri" w:eastAsia="Times New Roman" w:hAnsi="Calibri" w:cs="Calibri"/>
                <w:color w:val="000000"/>
              </w:rPr>
            </w:pPr>
            <w:r w:rsidRPr="00BF2F5F">
              <w:rPr>
                <w:rFonts w:ascii="Calibri" w:eastAsia="Times New Roman" w:hAnsi="Calibri" w:cs="Calibri"/>
                <w:color w:val="000000"/>
              </w:rPr>
              <w:t>Quarterly</w:t>
            </w:r>
          </w:p>
        </w:tc>
      </w:tr>
    </w:tbl>
    <w:p w14:paraId="1EF0660C" w14:textId="6588AA6A" w:rsidR="00535269" w:rsidRDefault="00535269"/>
    <w:sectPr w:rsidR="005352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5269"/>
    <w:rsid w:val="00061A38"/>
    <w:rsid w:val="001C4055"/>
    <w:rsid w:val="00386A79"/>
    <w:rsid w:val="004A5F68"/>
    <w:rsid w:val="00535269"/>
    <w:rsid w:val="007C77E3"/>
    <w:rsid w:val="007F6B75"/>
    <w:rsid w:val="00BF2F5F"/>
    <w:rsid w:val="00D763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85959E"/>
  <w15:chartTrackingRefBased/>
  <w15:docId w15:val="{71AFBEAC-85F7-422B-8513-A49655023E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87467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222</Words>
  <Characters>1270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Bailey, Deb</dc:creator>
  <cp:keywords/>
  <dc:description/>
  <cp:lastModifiedBy>Gray, Cari</cp:lastModifiedBy>
  <cp:revision>4</cp:revision>
  <dcterms:created xsi:type="dcterms:W3CDTF">2022-07-21T13:18:00Z</dcterms:created>
  <dcterms:modified xsi:type="dcterms:W3CDTF">2022-07-21T13:19:00Z</dcterms:modified>
</cp:coreProperties>
</file>